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58944" w14:textId="0A9FDAEF" w:rsidR="00A9426C" w:rsidRPr="00A9426C" w:rsidRDefault="00A9426C" w:rsidP="00A9426C">
      <w:pPr>
        <w:spacing w:after="0"/>
        <w:jc w:val="center"/>
        <w:rPr>
          <w:b/>
          <w:bCs/>
          <w:sz w:val="28"/>
          <w:szCs w:val="28"/>
        </w:rPr>
      </w:pPr>
      <w:r w:rsidRPr="00A9426C">
        <w:rPr>
          <w:b/>
          <w:bCs/>
          <w:sz w:val="28"/>
          <w:szCs w:val="28"/>
        </w:rPr>
        <w:t>ACCEPTABLE USE OF ARTIFICIAL INTELLIGENCE</w:t>
      </w:r>
    </w:p>
    <w:p w14:paraId="7064156D" w14:textId="77777777" w:rsidR="00A9426C" w:rsidRDefault="00A9426C" w:rsidP="00A9426C">
      <w:pPr>
        <w:spacing w:after="0"/>
        <w:rPr>
          <w:b/>
          <w:bCs/>
        </w:rPr>
      </w:pPr>
    </w:p>
    <w:p w14:paraId="4AF9DC78" w14:textId="4FBBBD90" w:rsidR="00A9426C" w:rsidRPr="00A9426C" w:rsidRDefault="00A9426C" w:rsidP="00A9426C">
      <w:pPr>
        <w:spacing w:after="0"/>
        <w:rPr>
          <w:b/>
          <w:bCs/>
          <w:sz w:val="28"/>
          <w:szCs w:val="28"/>
        </w:rPr>
      </w:pPr>
      <w:r w:rsidRPr="00A9426C">
        <w:rPr>
          <w:b/>
          <w:bCs/>
          <w:sz w:val="28"/>
          <w:szCs w:val="28"/>
        </w:rPr>
        <w:t>OVERVIEW</w:t>
      </w:r>
    </w:p>
    <w:p w14:paraId="2A92B57E" w14:textId="675F7CC9" w:rsidR="00A9426C" w:rsidRDefault="00A9426C" w:rsidP="00A9426C">
      <w:pPr>
        <w:spacing w:after="0"/>
      </w:pPr>
      <w:r w:rsidRPr="00A9426C">
        <w:t>We recognize the use of artificial intelligence (AI) sources to quickly gather information and provide solutions. However, there are also risks in using AI. To protect the County of Cass, its confidential information and the integrity of our operations, we have some basic ground rules you must follow regarding the use of AI in the workplace.</w:t>
      </w:r>
    </w:p>
    <w:p w14:paraId="16DFD503" w14:textId="77777777" w:rsidR="00A9426C" w:rsidRDefault="00A9426C" w:rsidP="00A9426C">
      <w:pPr>
        <w:spacing w:after="0"/>
      </w:pPr>
    </w:p>
    <w:p w14:paraId="02E5DEDA" w14:textId="67DC949F" w:rsidR="00A9426C" w:rsidRPr="00A9426C" w:rsidRDefault="00A9426C" w:rsidP="00A9426C">
      <w:pPr>
        <w:spacing w:after="0"/>
        <w:rPr>
          <w:b/>
          <w:bCs/>
          <w:sz w:val="28"/>
          <w:szCs w:val="28"/>
        </w:rPr>
      </w:pPr>
      <w:r w:rsidRPr="00A9426C">
        <w:rPr>
          <w:b/>
          <w:bCs/>
          <w:sz w:val="28"/>
          <w:szCs w:val="28"/>
        </w:rPr>
        <w:t>PURPOSE</w:t>
      </w:r>
    </w:p>
    <w:p w14:paraId="3DD4CD5F" w14:textId="1CBC0FB7" w:rsidR="00A9426C" w:rsidRDefault="00A9426C" w:rsidP="00A9426C">
      <w:pPr>
        <w:spacing w:after="0"/>
      </w:pPr>
      <w:r w:rsidRPr="00A9426C">
        <w:t>The purpose of this policy is to protect the County of Cass and its legitimate business</w:t>
      </w:r>
      <w:r>
        <w:t xml:space="preserve"> </w:t>
      </w:r>
      <w:r w:rsidRPr="00A9426C">
        <w:t>interests while allowing employees to use new technology. We ask that you use caution</w:t>
      </w:r>
      <w:r>
        <w:t xml:space="preserve"> </w:t>
      </w:r>
      <w:r w:rsidRPr="00A9426C">
        <w:t>and that you never enter confidential information into the AI software and always review</w:t>
      </w:r>
      <w:r>
        <w:t xml:space="preserve"> </w:t>
      </w:r>
      <w:r w:rsidRPr="00A9426C">
        <w:t>results for accuracy and completeness. AI results should not be used as a final work</w:t>
      </w:r>
      <w:r>
        <w:t xml:space="preserve"> </w:t>
      </w:r>
      <w:r w:rsidRPr="00A9426C">
        <w:t xml:space="preserve">product and should not be relied upon as the sole means for </w:t>
      </w:r>
      <w:proofErr w:type="gramStart"/>
      <w:r w:rsidRPr="00A9426C">
        <w:t>making a decision</w:t>
      </w:r>
      <w:proofErr w:type="gramEnd"/>
      <w:r w:rsidRPr="00A9426C">
        <w:t>; however,</w:t>
      </w:r>
      <w:r>
        <w:t xml:space="preserve"> </w:t>
      </w:r>
      <w:r w:rsidRPr="00A9426C">
        <w:t>AI can be used for research and development purposes.</w:t>
      </w:r>
    </w:p>
    <w:p w14:paraId="0707FC6F" w14:textId="77777777" w:rsidR="00A9426C" w:rsidRDefault="00A9426C" w:rsidP="00A9426C">
      <w:pPr>
        <w:spacing w:after="0"/>
      </w:pPr>
    </w:p>
    <w:p w14:paraId="40B36543" w14:textId="18932D9B" w:rsidR="00A9426C" w:rsidRPr="00A9426C" w:rsidRDefault="00A9426C" w:rsidP="00A9426C">
      <w:pPr>
        <w:spacing w:after="0"/>
        <w:rPr>
          <w:b/>
          <w:bCs/>
          <w:sz w:val="28"/>
          <w:szCs w:val="28"/>
        </w:rPr>
      </w:pPr>
      <w:r w:rsidRPr="00A9426C">
        <w:rPr>
          <w:b/>
          <w:bCs/>
          <w:sz w:val="28"/>
          <w:szCs w:val="28"/>
        </w:rPr>
        <w:t>SCOPE</w:t>
      </w:r>
    </w:p>
    <w:p w14:paraId="560D3D95" w14:textId="7B5E015C" w:rsidR="00A9426C" w:rsidRDefault="00A9426C" w:rsidP="00A9426C">
      <w:pPr>
        <w:spacing w:after="0"/>
      </w:pPr>
      <w:r w:rsidRPr="00A9426C">
        <w:t>This policy applies to the use of any third-party or publicly available GenAI tools, including ChatGPT, Google Bard, DALL-E, Midjourney, and other similar applications that mimic human intelligence to generate answers, enhance work products, or perform certain tasks.</w:t>
      </w:r>
    </w:p>
    <w:p w14:paraId="5DE63150" w14:textId="77777777" w:rsidR="00A9426C" w:rsidRDefault="00A9426C" w:rsidP="00A9426C">
      <w:pPr>
        <w:spacing w:after="0"/>
      </w:pPr>
    </w:p>
    <w:p w14:paraId="60EDA38A" w14:textId="75800D84" w:rsidR="00A9426C" w:rsidRPr="00A9426C" w:rsidRDefault="00A9426C" w:rsidP="00A9426C">
      <w:pPr>
        <w:spacing w:after="0"/>
        <w:rPr>
          <w:b/>
          <w:bCs/>
          <w:sz w:val="28"/>
          <w:szCs w:val="28"/>
        </w:rPr>
      </w:pPr>
      <w:r w:rsidRPr="00A9426C">
        <w:rPr>
          <w:b/>
          <w:bCs/>
          <w:sz w:val="28"/>
          <w:szCs w:val="28"/>
        </w:rPr>
        <w:t>POLICY</w:t>
      </w:r>
    </w:p>
    <w:p w14:paraId="5110F5D0" w14:textId="67094283" w:rsidR="00A9426C" w:rsidRDefault="00A9426C" w:rsidP="00A9426C">
      <w:pPr>
        <w:spacing w:after="0"/>
      </w:pPr>
      <w:r>
        <w:t xml:space="preserve">For additional information regarding County of Cass Acceptable Use of Artificial Intelligence (AI), contact the Information Technology department by email at </w:t>
      </w:r>
      <w:hyperlink r:id="rId8" w:history="1">
        <w:r w:rsidRPr="007E1494">
          <w:rPr>
            <w:rStyle w:val="Hyperlink"/>
          </w:rPr>
          <w:t>helpdesk@cassco.org</w:t>
        </w:r>
      </w:hyperlink>
      <w:r>
        <w:t xml:space="preserve">, or by phone at (269) 445-5252. </w:t>
      </w:r>
    </w:p>
    <w:p w14:paraId="4538AB75" w14:textId="77777777" w:rsidR="00A9426C" w:rsidRDefault="00A9426C" w:rsidP="00A9426C">
      <w:pPr>
        <w:spacing w:after="0"/>
      </w:pPr>
    </w:p>
    <w:p w14:paraId="3B19ADE7" w14:textId="67A01C1C" w:rsidR="00A9426C" w:rsidRPr="00A9426C" w:rsidRDefault="00A9426C" w:rsidP="00A9426C">
      <w:pPr>
        <w:spacing w:after="0"/>
        <w:rPr>
          <w:b/>
          <w:bCs/>
          <w:color w:val="7F7F7F" w:themeColor="text1" w:themeTint="80"/>
        </w:rPr>
      </w:pPr>
      <w:r w:rsidRPr="00A9426C">
        <w:rPr>
          <w:b/>
          <w:bCs/>
          <w:color w:val="7F7F7F" w:themeColor="text1" w:themeTint="80"/>
        </w:rPr>
        <w:t>USE OF AI</w:t>
      </w:r>
    </w:p>
    <w:p w14:paraId="71457045" w14:textId="425F1E33" w:rsidR="00A9426C" w:rsidRDefault="00A9426C" w:rsidP="00A9426C">
      <w:pPr>
        <w:pStyle w:val="ListParagraph"/>
        <w:numPr>
          <w:ilvl w:val="0"/>
          <w:numId w:val="1"/>
        </w:numPr>
        <w:spacing w:after="0"/>
      </w:pPr>
      <w:r>
        <w:t>Understand that GenAI tools may be useful but are not a substitute for human judgment and creativity.</w:t>
      </w:r>
    </w:p>
    <w:p w14:paraId="31AE177F" w14:textId="618F57B1" w:rsidR="00A9426C" w:rsidRDefault="00A9426C" w:rsidP="00A9426C">
      <w:pPr>
        <w:pStyle w:val="ListParagraph"/>
        <w:numPr>
          <w:ilvl w:val="0"/>
          <w:numId w:val="1"/>
        </w:numPr>
        <w:spacing w:after="0"/>
      </w:pPr>
      <w:r>
        <w:t>Do not use GenAI tools to make or help you make employment decisions about applicants or employees, including recruitment, hiring, retention, promotions, transfers, performance monitoring, discipline, demotion, or terminations.</w:t>
      </w:r>
    </w:p>
    <w:p w14:paraId="2B31CE88" w14:textId="306541C3" w:rsidR="00A9426C" w:rsidRDefault="00A9426C" w:rsidP="00A9426C">
      <w:pPr>
        <w:pStyle w:val="ListParagraph"/>
        <w:numPr>
          <w:ilvl w:val="0"/>
          <w:numId w:val="1"/>
        </w:numPr>
        <w:spacing w:after="0"/>
      </w:pPr>
      <w:r>
        <w:t>Do not upload or input any personal information (names, addresses, likenesses, etc.) about any person into any GenAI tool.</w:t>
      </w:r>
    </w:p>
    <w:p w14:paraId="76A14300" w14:textId="4A032879" w:rsidR="00A9426C" w:rsidRDefault="00A9426C" w:rsidP="00A9426C">
      <w:pPr>
        <w:pStyle w:val="ListParagraph"/>
        <w:numPr>
          <w:ilvl w:val="0"/>
          <w:numId w:val="1"/>
        </w:numPr>
        <w:spacing w:after="0"/>
      </w:pPr>
      <w:r>
        <w:t>Do not represent work generated by a GenAI tool as being your own original work.</w:t>
      </w:r>
    </w:p>
    <w:p w14:paraId="5788BC97" w14:textId="316BF4F5" w:rsidR="00A9426C" w:rsidRDefault="00A9426C" w:rsidP="00A9426C">
      <w:pPr>
        <w:pStyle w:val="ListParagraph"/>
        <w:numPr>
          <w:ilvl w:val="0"/>
          <w:numId w:val="1"/>
        </w:numPr>
        <w:spacing w:after="0"/>
      </w:pPr>
      <w:r>
        <w:t>Inform your supervisor when you have used a GenAI tool to help perform a task.</w:t>
      </w:r>
    </w:p>
    <w:p w14:paraId="658627DA" w14:textId="77777777" w:rsidR="00A9426C" w:rsidRDefault="00A9426C" w:rsidP="00A9426C">
      <w:pPr>
        <w:spacing w:after="0"/>
      </w:pPr>
    </w:p>
    <w:p w14:paraId="15390704" w14:textId="5247B8B8" w:rsidR="00A9426C" w:rsidRPr="00A9426C" w:rsidRDefault="00A9426C" w:rsidP="00A9426C">
      <w:pPr>
        <w:spacing w:after="0"/>
        <w:rPr>
          <w:b/>
          <w:bCs/>
          <w:color w:val="7F7F7F" w:themeColor="text1" w:themeTint="80"/>
        </w:rPr>
      </w:pPr>
      <w:r w:rsidRPr="00A9426C">
        <w:rPr>
          <w:b/>
          <w:bCs/>
          <w:color w:val="7F7F7F" w:themeColor="text1" w:themeTint="80"/>
        </w:rPr>
        <w:lastRenderedPageBreak/>
        <w:t>CONFIDENTIAL DATA</w:t>
      </w:r>
    </w:p>
    <w:p w14:paraId="180A1139" w14:textId="5F087E1D" w:rsidR="00A9426C" w:rsidRDefault="00A9426C" w:rsidP="00A9426C">
      <w:pPr>
        <w:pStyle w:val="ListParagraph"/>
        <w:numPr>
          <w:ilvl w:val="0"/>
          <w:numId w:val="2"/>
        </w:numPr>
        <w:spacing w:after="0"/>
      </w:pPr>
      <w:r>
        <w:t xml:space="preserve">You must never upload, share, or otherwise disclose any confidential, proprietary, or protected data. Once such information is disclosed, it is impossible to “undo” the damage. Examples include passwords and other credentials, protected health information, personnel material, information from documents marked Confidential, Sensitive, or Proprietary, or any other nonpublic information that might be harmful if disclosed. </w:t>
      </w:r>
    </w:p>
    <w:p w14:paraId="621870D0" w14:textId="77777777" w:rsidR="00A9426C" w:rsidRDefault="00A9426C" w:rsidP="00A9426C">
      <w:pPr>
        <w:spacing w:after="0"/>
      </w:pPr>
    </w:p>
    <w:p w14:paraId="3A0A0FD6" w14:textId="5A489F82" w:rsidR="00A9426C" w:rsidRPr="00B13805" w:rsidRDefault="00A9426C" w:rsidP="00A9426C">
      <w:pPr>
        <w:spacing w:after="0"/>
        <w:rPr>
          <w:b/>
          <w:bCs/>
          <w:color w:val="7F7F7F" w:themeColor="text1" w:themeTint="80"/>
        </w:rPr>
      </w:pPr>
      <w:r w:rsidRPr="00B13805">
        <w:rPr>
          <w:b/>
          <w:bCs/>
          <w:color w:val="7F7F7F" w:themeColor="text1" w:themeTint="80"/>
        </w:rPr>
        <w:t>EVALUATION OF AI TOOLS</w:t>
      </w:r>
    </w:p>
    <w:p w14:paraId="66523923" w14:textId="4F3AF8D4" w:rsidR="00A9426C" w:rsidRDefault="00A9426C" w:rsidP="00A9426C">
      <w:pPr>
        <w:pStyle w:val="ListParagraph"/>
        <w:numPr>
          <w:ilvl w:val="0"/>
          <w:numId w:val="3"/>
        </w:numPr>
        <w:spacing w:after="0"/>
      </w:pPr>
      <w:r>
        <w:t>The use of AI results can produce out-of-date, copywritten, or misinformation. Employees should evaluate the utility, security, and reputation of the AI tool before using it. One must not blindly trust any output from these models and should always verify the facts and content they generate. Responses must always be carefully verified by a human.</w:t>
      </w:r>
    </w:p>
    <w:p w14:paraId="5E645670" w14:textId="3DC64D0A" w:rsidR="00A9426C" w:rsidRDefault="00A9426C" w:rsidP="00A9426C">
      <w:pPr>
        <w:pStyle w:val="ListParagraph"/>
        <w:numPr>
          <w:ilvl w:val="0"/>
          <w:numId w:val="3"/>
        </w:numPr>
        <w:spacing w:after="0"/>
      </w:pPr>
      <w:r>
        <w:t xml:space="preserve">Verify that any response from a GenAI tool that you intend to rely </w:t>
      </w:r>
      <w:proofErr w:type="gramStart"/>
      <w:r>
        <w:t>on</w:t>
      </w:r>
      <w:proofErr w:type="gramEnd"/>
      <w:r w:rsidR="00B13805">
        <w:t xml:space="preserve"> or use is accurate, appropriate, not biased, not a violation of any other individual or entity’s intellectual property or privacy, and consistent with Cass County policies and acceptable laws. </w:t>
      </w:r>
    </w:p>
    <w:p w14:paraId="69257400" w14:textId="77777777" w:rsidR="00B13805" w:rsidRDefault="00B13805" w:rsidP="00B13805">
      <w:pPr>
        <w:spacing w:after="0"/>
      </w:pPr>
    </w:p>
    <w:p w14:paraId="1885B934" w14:textId="013944E1" w:rsidR="00B13805" w:rsidRPr="00B13805" w:rsidRDefault="00B13805" w:rsidP="00B13805">
      <w:pPr>
        <w:spacing w:after="0"/>
        <w:rPr>
          <w:b/>
          <w:bCs/>
          <w:sz w:val="28"/>
          <w:szCs w:val="28"/>
        </w:rPr>
      </w:pPr>
      <w:r w:rsidRPr="00B13805">
        <w:rPr>
          <w:b/>
          <w:bCs/>
          <w:sz w:val="28"/>
          <w:szCs w:val="28"/>
        </w:rPr>
        <w:t>POLICY COMPLIANCE</w:t>
      </w:r>
    </w:p>
    <w:p w14:paraId="568003DA" w14:textId="78BA84FA" w:rsidR="00B13805" w:rsidRDefault="00B13805" w:rsidP="00B13805">
      <w:pPr>
        <w:spacing w:after="0"/>
        <w:rPr>
          <w:b/>
          <w:bCs/>
          <w:color w:val="7F7F7F" w:themeColor="text1" w:themeTint="80"/>
        </w:rPr>
      </w:pPr>
      <w:r w:rsidRPr="00B13805">
        <w:rPr>
          <w:b/>
          <w:bCs/>
          <w:color w:val="7F7F7F" w:themeColor="text1" w:themeTint="80"/>
        </w:rPr>
        <w:t>COMPLIANCE MEASUREMENT</w:t>
      </w:r>
    </w:p>
    <w:p w14:paraId="738B1B94" w14:textId="5B26B710" w:rsidR="00B13805" w:rsidRDefault="00B13805" w:rsidP="00B13805">
      <w:pPr>
        <w:spacing w:after="0"/>
        <w:rPr>
          <w:color w:val="000000" w:themeColor="text1"/>
        </w:rPr>
      </w:pPr>
      <w:r w:rsidRPr="00B13805">
        <w:rPr>
          <w:color w:val="000000" w:themeColor="text1"/>
        </w:rPr>
        <w:t>The Information Technology department will verify compliance to this policy through</w:t>
      </w:r>
      <w:r>
        <w:rPr>
          <w:color w:val="000000" w:themeColor="text1"/>
        </w:rPr>
        <w:t xml:space="preserve"> </w:t>
      </w:r>
      <w:r w:rsidRPr="00B13805">
        <w:rPr>
          <w:color w:val="000000" w:themeColor="text1"/>
        </w:rPr>
        <w:t>various methods, including but not limited to network monitoring, business tool reports,</w:t>
      </w:r>
      <w:r>
        <w:rPr>
          <w:color w:val="000000" w:themeColor="text1"/>
        </w:rPr>
        <w:t xml:space="preserve"> </w:t>
      </w:r>
      <w:r w:rsidRPr="00B13805">
        <w:rPr>
          <w:color w:val="000000" w:themeColor="text1"/>
        </w:rPr>
        <w:t>internal and external audits, and inspection, and will provide feedback to the policy owner</w:t>
      </w:r>
      <w:r>
        <w:rPr>
          <w:color w:val="000000" w:themeColor="text1"/>
        </w:rPr>
        <w:t xml:space="preserve"> </w:t>
      </w:r>
      <w:r w:rsidRPr="00B13805">
        <w:rPr>
          <w:color w:val="000000" w:themeColor="text1"/>
        </w:rPr>
        <w:t>and appropriate business unit manager.</w:t>
      </w:r>
    </w:p>
    <w:p w14:paraId="61BB73A6" w14:textId="77777777" w:rsidR="00B13805" w:rsidRDefault="00B13805" w:rsidP="00B13805">
      <w:pPr>
        <w:spacing w:after="0"/>
        <w:rPr>
          <w:color w:val="000000" w:themeColor="text1"/>
        </w:rPr>
      </w:pPr>
    </w:p>
    <w:p w14:paraId="029ECA44" w14:textId="4D63537B" w:rsidR="00B13805" w:rsidRPr="00B13805" w:rsidRDefault="00B13805" w:rsidP="00B13805">
      <w:pPr>
        <w:spacing w:after="0"/>
        <w:rPr>
          <w:b/>
          <w:bCs/>
          <w:color w:val="7F7F7F" w:themeColor="text1" w:themeTint="80"/>
        </w:rPr>
      </w:pPr>
      <w:r w:rsidRPr="00B13805">
        <w:rPr>
          <w:b/>
          <w:bCs/>
          <w:color w:val="7F7F7F" w:themeColor="text1" w:themeTint="80"/>
        </w:rPr>
        <w:t>EXCEPTIONS</w:t>
      </w:r>
    </w:p>
    <w:p w14:paraId="1E461B4B" w14:textId="6F7B4726" w:rsidR="00B13805" w:rsidRDefault="00B13805" w:rsidP="00B13805">
      <w:pPr>
        <w:spacing w:after="0"/>
        <w:rPr>
          <w:color w:val="000000" w:themeColor="text1"/>
        </w:rPr>
      </w:pPr>
      <w:r w:rsidRPr="00B13805">
        <w:rPr>
          <w:color w:val="000000" w:themeColor="text1"/>
        </w:rPr>
        <w:t>Any exception to the policy must be approved by the Information Technology department and the employees Elected Official and/or the County Administrator in advance.</w:t>
      </w:r>
    </w:p>
    <w:p w14:paraId="08B663C4" w14:textId="77777777" w:rsidR="00B13805" w:rsidRDefault="00B13805" w:rsidP="00B13805">
      <w:pPr>
        <w:spacing w:after="0"/>
        <w:rPr>
          <w:color w:val="000000" w:themeColor="text1"/>
        </w:rPr>
      </w:pPr>
    </w:p>
    <w:p w14:paraId="159F5047" w14:textId="35B7B0E4" w:rsidR="00B13805" w:rsidRPr="00B13805" w:rsidRDefault="00B13805" w:rsidP="00B13805">
      <w:pPr>
        <w:spacing w:after="0"/>
        <w:rPr>
          <w:b/>
          <w:bCs/>
          <w:color w:val="7F7F7F" w:themeColor="text1" w:themeTint="80"/>
        </w:rPr>
      </w:pPr>
      <w:r w:rsidRPr="00B13805">
        <w:rPr>
          <w:b/>
          <w:bCs/>
          <w:color w:val="7F7F7F" w:themeColor="text1" w:themeTint="80"/>
        </w:rPr>
        <w:t>NON-COMPLIANCE</w:t>
      </w:r>
    </w:p>
    <w:p w14:paraId="0CB4BB8F" w14:textId="7D43DDA2" w:rsidR="00B13805" w:rsidRDefault="00B13805" w:rsidP="00B13805">
      <w:pPr>
        <w:spacing w:after="0"/>
        <w:rPr>
          <w:color w:val="000000" w:themeColor="text1"/>
        </w:rPr>
      </w:pPr>
      <w:r w:rsidRPr="00B13805">
        <w:rPr>
          <w:color w:val="000000" w:themeColor="text1"/>
        </w:rPr>
        <w:t>An employee found to have violated this policy may be subject to disciplinary action, up to and including termination of employment.</w:t>
      </w:r>
    </w:p>
    <w:p w14:paraId="5A1638D6" w14:textId="77777777" w:rsidR="00B13805" w:rsidRDefault="00B13805" w:rsidP="00B13805">
      <w:pPr>
        <w:spacing w:after="0"/>
        <w:rPr>
          <w:color w:val="000000" w:themeColor="text1"/>
        </w:rPr>
      </w:pPr>
    </w:p>
    <w:p w14:paraId="0F8DE366" w14:textId="737BC3DD" w:rsidR="00B13805" w:rsidRPr="00B13805" w:rsidRDefault="00B13805" w:rsidP="00B13805">
      <w:pPr>
        <w:spacing w:after="0"/>
        <w:rPr>
          <w:b/>
          <w:bCs/>
          <w:color w:val="000000" w:themeColor="text1"/>
          <w:sz w:val="28"/>
          <w:szCs w:val="28"/>
        </w:rPr>
      </w:pPr>
      <w:r w:rsidRPr="00B13805">
        <w:rPr>
          <w:b/>
          <w:bCs/>
          <w:color w:val="000000" w:themeColor="text1"/>
          <w:sz w:val="28"/>
          <w:szCs w:val="28"/>
        </w:rPr>
        <w:t>RELATED STANDARDS, POLICIES AND PROCESSES</w:t>
      </w:r>
    </w:p>
    <w:p w14:paraId="57589D8B" w14:textId="68A75FA9" w:rsidR="00B13805" w:rsidRDefault="00B13805" w:rsidP="00B13805">
      <w:pPr>
        <w:spacing w:after="0"/>
        <w:rPr>
          <w:color w:val="000000" w:themeColor="text1"/>
        </w:rPr>
      </w:pPr>
      <w:r>
        <w:rPr>
          <w:color w:val="000000" w:themeColor="text1"/>
        </w:rPr>
        <w:t xml:space="preserve">Please review the following policies for details on protecting information and acceptable use of Cass County’s network: </w:t>
      </w:r>
    </w:p>
    <w:p w14:paraId="44F74860" w14:textId="3198FEB5" w:rsidR="00B13805" w:rsidRDefault="00B13805" w:rsidP="00B13805">
      <w:pPr>
        <w:pStyle w:val="ListParagraph"/>
        <w:numPr>
          <w:ilvl w:val="0"/>
          <w:numId w:val="4"/>
        </w:numPr>
        <w:spacing w:after="0"/>
        <w:rPr>
          <w:color w:val="000000" w:themeColor="text1"/>
        </w:rPr>
      </w:pPr>
      <w:r>
        <w:rPr>
          <w:color w:val="000000" w:themeColor="text1"/>
        </w:rPr>
        <w:lastRenderedPageBreak/>
        <w:t>Computer Use Policy</w:t>
      </w:r>
    </w:p>
    <w:p w14:paraId="4D5E863C" w14:textId="6E62781A" w:rsidR="00B13805" w:rsidRDefault="00B13805" w:rsidP="00B13805">
      <w:pPr>
        <w:pStyle w:val="ListParagraph"/>
        <w:numPr>
          <w:ilvl w:val="0"/>
          <w:numId w:val="4"/>
        </w:numPr>
        <w:spacing w:after="0"/>
        <w:rPr>
          <w:color w:val="000000" w:themeColor="text1"/>
        </w:rPr>
      </w:pPr>
      <w:r>
        <w:rPr>
          <w:color w:val="000000" w:themeColor="text1"/>
        </w:rPr>
        <w:t>Internet Policy</w:t>
      </w:r>
    </w:p>
    <w:p w14:paraId="6D939B80" w14:textId="77777777" w:rsidR="00B13805" w:rsidRDefault="00B13805" w:rsidP="00B13805">
      <w:pPr>
        <w:spacing w:after="0"/>
        <w:rPr>
          <w:color w:val="000000" w:themeColor="text1"/>
        </w:rPr>
      </w:pPr>
    </w:p>
    <w:p w14:paraId="0836FFB3" w14:textId="147F7D95" w:rsidR="00B13805" w:rsidRPr="00B13805" w:rsidRDefault="00B13805" w:rsidP="00B13805">
      <w:pPr>
        <w:spacing w:after="0"/>
        <w:rPr>
          <w:b/>
          <w:bCs/>
          <w:color w:val="000000" w:themeColor="text1"/>
        </w:rPr>
      </w:pPr>
      <w:r>
        <w:rPr>
          <w:b/>
          <w:bCs/>
          <w:color w:val="000000" w:themeColor="text1"/>
        </w:rPr>
        <w:t xml:space="preserve">ADOPTED: </w:t>
      </w:r>
      <w:r w:rsidR="000E3581">
        <w:rPr>
          <w:b/>
          <w:bCs/>
          <w:color w:val="000000" w:themeColor="text1"/>
        </w:rPr>
        <w:t>APRIL 10, 2025</w:t>
      </w:r>
    </w:p>
    <w:p w14:paraId="549184B2" w14:textId="77777777" w:rsidR="00B13805" w:rsidRPr="00B13805" w:rsidRDefault="00B13805" w:rsidP="00B13805">
      <w:pPr>
        <w:spacing w:after="0"/>
        <w:rPr>
          <w:color w:val="000000" w:themeColor="text1"/>
        </w:rPr>
      </w:pPr>
    </w:p>
    <w:sectPr w:rsidR="00B13805" w:rsidRPr="00B13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409A"/>
    <w:multiLevelType w:val="hybridMultilevel"/>
    <w:tmpl w:val="60589C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C3348D"/>
    <w:multiLevelType w:val="hybridMultilevel"/>
    <w:tmpl w:val="85F2F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C6373"/>
    <w:multiLevelType w:val="hybridMultilevel"/>
    <w:tmpl w:val="17021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A21FB3"/>
    <w:multiLevelType w:val="hybridMultilevel"/>
    <w:tmpl w:val="60589C9C"/>
    <w:lvl w:ilvl="0" w:tplc="BD6C8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499602">
    <w:abstractNumId w:val="1"/>
  </w:num>
  <w:num w:numId="2" w16cid:durableId="1839687906">
    <w:abstractNumId w:val="3"/>
  </w:num>
  <w:num w:numId="3" w16cid:durableId="564684528">
    <w:abstractNumId w:val="0"/>
  </w:num>
  <w:num w:numId="4" w16cid:durableId="1908612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26C"/>
    <w:rsid w:val="00034EFE"/>
    <w:rsid w:val="000E3581"/>
    <w:rsid w:val="00151702"/>
    <w:rsid w:val="0024507F"/>
    <w:rsid w:val="006D0F46"/>
    <w:rsid w:val="008E49ED"/>
    <w:rsid w:val="00A91143"/>
    <w:rsid w:val="00A9426C"/>
    <w:rsid w:val="00B13805"/>
    <w:rsid w:val="00B2589E"/>
    <w:rsid w:val="00B96AE5"/>
    <w:rsid w:val="00D8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8E6EB9"/>
  <w15:chartTrackingRefBased/>
  <w15:docId w15:val="{2EFA45C7-BE7A-1A4C-A76D-99E36F38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26C"/>
    <w:rPr>
      <w:rFonts w:eastAsiaTheme="majorEastAsia" w:cstheme="majorBidi"/>
      <w:color w:val="272727" w:themeColor="text1" w:themeTint="D8"/>
    </w:rPr>
  </w:style>
  <w:style w:type="paragraph" w:styleId="Title">
    <w:name w:val="Title"/>
    <w:basedOn w:val="Normal"/>
    <w:next w:val="Normal"/>
    <w:link w:val="TitleChar"/>
    <w:uiPriority w:val="10"/>
    <w:qFormat/>
    <w:rsid w:val="00A94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26C"/>
    <w:pPr>
      <w:spacing w:before="160"/>
      <w:jc w:val="center"/>
    </w:pPr>
    <w:rPr>
      <w:i/>
      <w:iCs/>
      <w:color w:val="404040" w:themeColor="text1" w:themeTint="BF"/>
    </w:rPr>
  </w:style>
  <w:style w:type="character" w:customStyle="1" w:styleId="QuoteChar">
    <w:name w:val="Quote Char"/>
    <w:basedOn w:val="DefaultParagraphFont"/>
    <w:link w:val="Quote"/>
    <w:uiPriority w:val="29"/>
    <w:rsid w:val="00A9426C"/>
    <w:rPr>
      <w:i/>
      <w:iCs/>
      <w:color w:val="404040" w:themeColor="text1" w:themeTint="BF"/>
    </w:rPr>
  </w:style>
  <w:style w:type="paragraph" w:styleId="ListParagraph">
    <w:name w:val="List Paragraph"/>
    <w:basedOn w:val="Normal"/>
    <w:uiPriority w:val="34"/>
    <w:qFormat/>
    <w:rsid w:val="00A9426C"/>
    <w:pPr>
      <w:ind w:left="720"/>
      <w:contextualSpacing/>
    </w:pPr>
  </w:style>
  <w:style w:type="character" w:styleId="IntenseEmphasis">
    <w:name w:val="Intense Emphasis"/>
    <w:basedOn w:val="DefaultParagraphFont"/>
    <w:uiPriority w:val="21"/>
    <w:qFormat/>
    <w:rsid w:val="00A9426C"/>
    <w:rPr>
      <w:i/>
      <w:iCs/>
      <w:color w:val="0F4761" w:themeColor="accent1" w:themeShade="BF"/>
    </w:rPr>
  </w:style>
  <w:style w:type="paragraph" w:styleId="IntenseQuote">
    <w:name w:val="Intense Quote"/>
    <w:basedOn w:val="Normal"/>
    <w:next w:val="Normal"/>
    <w:link w:val="IntenseQuoteChar"/>
    <w:uiPriority w:val="30"/>
    <w:qFormat/>
    <w:rsid w:val="00A94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26C"/>
    <w:rPr>
      <w:i/>
      <w:iCs/>
      <w:color w:val="0F4761" w:themeColor="accent1" w:themeShade="BF"/>
    </w:rPr>
  </w:style>
  <w:style w:type="character" w:styleId="IntenseReference">
    <w:name w:val="Intense Reference"/>
    <w:basedOn w:val="DefaultParagraphFont"/>
    <w:uiPriority w:val="32"/>
    <w:qFormat/>
    <w:rsid w:val="00A9426C"/>
    <w:rPr>
      <w:b/>
      <w:bCs/>
      <w:smallCaps/>
      <w:color w:val="0F4761" w:themeColor="accent1" w:themeShade="BF"/>
      <w:spacing w:val="5"/>
    </w:rPr>
  </w:style>
  <w:style w:type="character" w:styleId="Hyperlink">
    <w:name w:val="Hyperlink"/>
    <w:basedOn w:val="DefaultParagraphFont"/>
    <w:uiPriority w:val="99"/>
    <w:unhideWhenUsed/>
    <w:rsid w:val="00A9426C"/>
    <w:rPr>
      <w:color w:val="467886" w:themeColor="hyperlink"/>
      <w:u w:val="single"/>
    </w:rPr>
  </w:style>
  <w:style w:type="character" w:styleId="UnresolvedMention">
    <w:name w:val="Unresolved Mention"/>
    <w:basedOn w:val="DefaultParagraphFont"/>
    <w:uiPriority w:val="99"/>
    <w:semiHidden/>
    <w:unhideWhenUsed/>
    <w:rsid w:val="00A94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cassco.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e1fea5-2862-4cb5-b0a4-db52f24cef1b">
      <Terms xmlns="http://schemas.microsoft.com/office/infopath/2007/PartnerControls"/>
    </lcf76f155ced4ddcb4097134ff3c332f>
    <TaxCatchAll xmlns="cb3de37d-51dc-488d-860c-1bb5fe45ca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38B3720069D940B238176B851A1BED" ma:contentTypeVersion="15" ma:contentTypeDescription="Create a new document." ma:contentTypeScope="" ma:versionID="abde5e2e639bcffbc3f77c3a8f246364">
  <xsd:schema xmlns:xsd="http://www.w3.org/2001/XMLSchema" xmlns:xs="http://www.w3.org/2001/XMLSchema" xmlns:p="http://schemas.microsoft.com/office/2006/metadata/properties" xmlns:ns2="d6e1fea5-2862-4cb5-b0a4-db52f24cef1b" xmlns:ns3="cb3de37d-51dc-488d-860c-1bb5fe45cad8" targetNamespace="http://schemas.microsoft.com/office/2006/metadata/properties" ma:root="true" ma:fieldsID="cc3ae97ee60b5f6dd865dadb0f2b205a" ns2:_="" ns3:_="">
    <xsd:import namespace="d6e1fea5-2862-4cb5-b0a4-db52f24cef1b"/>
    <xsd:import namespace="cb3de37d-51dc-488d-860c-1bb5fe45ca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1fea5-2862-4cb5-b0a4-db52f24ce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374b1a-338d-4159-a23e-8228f872faf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de37d-51dc-488d-860c-1bb5fe45ca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7a3e33-89a5-4f90-b693-95c0b1e0f31a}" ma:internalName="TaxCatchAll" ma:showField="CatchAllData" ma:web="cb3de37d-51dc-488d-860c-1bb5fe45c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EC1FF-C0D0-49C4-BEFC-9E6CF8FD3504}">
  <ds:schemaRefs>
    <ds:schemaRef ds:uri="http://schemas.microsoft.com/office/2006/metadata/properties"/>
    <ds:schemaRef ds:uri="http://schemas.microsoft.com/office/infopath/2007/PartnerControls"/>
    <ds:schemaRef ds:uri="d6e1fea5-2862-4cb5-b0a4-db52f24cef1b"/>
    <ds:schemaRef ds:uri="cb3de37d-51dc-488d-860c-1bb5fe45cad8"/>
  </ds:schemaRefs>
</ds:datastoreItem>
</file>

<file path=customXml/itemProps2.xml><?xml version="1.0" encoding="utf-8"?>
<ds:datastoreItem xmlns:ds="http://schemas.openxmlformats.org/officeDocument/2006/customXml" ds:itemID="{201C400A-6D2F-4611-9135-621219F06E7C}">
  <ds:schemaRefs>
    <ds:schemaRef ds:uri="http://schemas.microsoft.com/sharepoint/v3/contenttype/forms"/>
  </ds:schemaRefs>
</ds:datastoreItem>
</file>

<file path=customXml/itemProps3.xml><?xml version="1.0" encoding="utf-8"?>
<ds:datastoreItem xmlns:ds="http://schemas.openxmlformats.org/officeDocument/2006/customXml" ds:itemID="{3C2D90E5-2734-4494-95A7-766A0E25C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1fea5-2862-4cb5-b0a4-db52f24cef1b"/>
    <ds:schemaRef ds:uri="cb3de37d-51dc-488d-860c-1bb5fe45c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Ambrosia Neldon</dc:creator>
  <cp:keywords/>
  <dc:description/>
  <cp:lastModifiedBy>Ambrosia Neldon</cp:lastModifiedBy>
  <cp:revision>2</cp:revision>
  <dcterms:created xsi:type="dcterms:W3CDTF">2025-03-14T13:23:00Z</dcterms:created>
  <dcterms:modified xsi:type="dcterms:W3CDTF">2025-04-14T19:03:00Z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0x010100D038B3720069D940B238176B851A1BED</vt:lpwstr>
  </property>
  <property fmtid="{D5CDD505-2E9C-101B-9397-08002B2CF9AE}" pid="3" name="MediaServiceImageTags">
    <vt:lpwstr/>
  </property>
</Properties>
</file>